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20" w:lineRule="atLeast"/>
        <w:ind w:left="-440" w:leftChars="-200" w:firstLine="678" w:firstLineChars="157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highlight w:val="none"/>
          <w:lang w:val="zh-CN" w:eastAsia="zh-CN" w:bidi="zh-CN"/>
        </w:rPr>
        <w:t>宿州市公安局交管支队七大队训练中心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highlight w:val="none"/>
          <w:lang w:val="en-US" w:eastAsia="zh-CN" w:bidi="zh-CN"/>
        </w:rPr>
        <w:t>改造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  <w:highlight w:val="none"/>
          <w:lang w:val="zh-CN" w:eastAsia="zh-CN" w:bidi="zh-CN"/>
        </w:rPr>
        <w:t>建设项目要求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20" w:lineRule="atLeast"/>
        <w:ind w:left="-440" w:leftChars="-200" w:firstLine="439" w:firstLineChars="157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1、硅PU数量：500平方；（含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地面整平，达到硅PU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施工要求）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耐磨性：磨耗量≤0.02g/cm²（正常使用下可抗频繁摩擦，延长使用寿命）；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抗压弹性：回弹值≥20%；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抗拉伸强度：≥1.8MPa（抵御场地热胀冷缩，防止开裂）；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耐候性：-20℃~60℃环境下无开裂、鼓泡（适应户外高温、低温及雨水侵蚀）；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有害物质：VOC（挥发性有机化合物）含量≤100g/L，无重金属（铅、汞等），符合国家《GB 36246-2018》标准；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防滑性：摩擦系数≥0.5（潮湿环境下也能避免滑倒，平衡抓地力与移动性）；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弹性层：4mm（提供核心缓冲，减少运动损伤）；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面层：2mm（含防滑纹理，保障控球与跑动稳定性）；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2、灯光照明(太阳能，含地笼基础）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数量：8盏；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灯杆高度：6米；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灯杆材质：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≥90圆管，壁厚≥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3mm；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灯具：采用400W高亮度球场专用灯，免布线，防雨防雷，天亮自动充电，天黑自动亮灯的特点；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600" w:lineRule="exact"/>
        <w:ind w:left="-440" w:leftChars="-20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太阳能板：120W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≥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太阳能板，100an/h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 w:bidi="zh-CN"/>
        </w:rPr>
        <w:t>≥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电池；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3、围网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数量：440平方；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尺寸：高度：4m，宽度：3m 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规格：日子型、拼装式，可自由组装，不需要日常维护；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立柱：镀锌圆管φ75mm*3.0mm；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外框：外框采用φ3mm*6mm镀锌方管，优质焊接工艺，焊点要均匀美观，表面采用烤漆工艺，要求牢固稳定、实用安全；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网孔：50mm*50mm，勾花网状结构；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丝径：4.5mm 低碳钢丝外层包塑；不易断裂、不生锈、耐用；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4、休息椅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数量：4张；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功能：用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于运动员休息；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单张规格:1800x720x800mm；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颜色:森林绿；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·加宽加厚面板，可同时承受四个成年人；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·组合式设计，拆装方便；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-440" w:leftChars="-200" w:right="0" w:rightChars="0" w:firstLine="502" w:firstLineChars="157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lang w:val="en-US" w:eastAsia="zh-CN" w:bidi="zh-CN"/>
        </w:rPr>
        <w:t>·椅脚管套采用高弹橡胶保护设计，预防损坏地面，结构材料表面经超耐候纯聚脂粉末喷涂，颜色不脱落，美观大方；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0" w:lineRule="atLeast"/>
        <w:ind w:left="-440" w:leftChars="-200" w:right="0" w:rightChars="0" w:firstLine="439" w:firstLineChars="157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zh-CN"/>
        </w:rPr>
      </w:pPr>
    </w:p>
    <w:p>
      <w:pPr>
        <w:rPr>
          <w:rFonts w:hint="default" w:eastAsia="宋体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47FB"/>
    <w:rsid w:val="006B09BB"/>
    <w:rsid w:val="245347FB"/>
    <w:rsid w:val="43DE4705"/>
    <w:rsid w:val="625A3056"/>
    <w:rsid w:val="6DAE6FEE"/>
    <w:rsid w:val="747D2DF9"/>
    <w:rsid w:val="76726E86"/>
    <w:rsid w:val="CE9F7BCB"/>
    <w:rsid w:val="D6FF9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Calibri" w:hAnsi="Calibri" w:eastAsia="Calibri" w:cs="Times New Roman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Calibri" w:cs="Times New Roman"/>
      <w:kern w:val="0"/>
      <w:sz w:val="20"/>
    </w:rPr>
  </w:style>
  <w:style w:type="paragraph" w:customStyle="1" w:styleId="4">
    <w:name w:val="EnvelopeReturn"/>
    <w:basedOn w:val="1"/>
    <w:qFormat/>
    <w:uiPriority w:val="0"/>
    <w:pPr>
      <w:snapToGrid w:val="0"/>
    </w:pPr>
    <w:rPr>
      <w:rFonts w:ascii="Arial" w:hAnsi="Arial" w:eastAsia="Calibri" w:cs="Times New Roman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hAnsi="Times New Roman" w:eastAsia="楷体_GB2312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7">
    <w:name w:val="Body Text First Indent 2"/>
    <w:basedOn w:val="5"/>
    <w:qFormat/>
    <w:uiPriority w:val="0"/>
    <w:pPr>
      <w:spacing w:after="120" w:afterLines="0" w:line="240" w:lineRule="auto"/>
      <w:ind w:left="420" w:leftChars="20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740</Characters>
  <Lines>0</Lines>
  <Paragraphs>0</Paragraphs>
  <TotalTime>2</TotalTime>
  <ScaleCrop>false</ScaleCrop>
  <LinksUpToDate>false</LinksUpToDate>
  <CharactersWithSpaces>743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2025-12-18T00:42:00Z</dcterms:created>
  <dc:creator>飞松机械（傲华粮机）</dc:creator>
  <cp:lastModifiedBy>greatwall</cp:lastModifiedBy>
  <cp:lastPrinted>2026-01-04T10:07:28Z</cp:lastPrinted>
  <dcterms:modified xsi:type="dcterms:W3CDTF">2026-01-04T10:07:38Z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A0105033A78A801B6ACB5969FA98B9AA</vt:lpwstr>
  </property>
  <property fmtid="{D5CDD505-2E9C-101B-9397-08002B2CF9AE}" pid="4" name="KSOTemplateDocerSaveRecord">
    <vt:lpwstr>eyJoZGlkIjoiMTk1YmMxOGY3OTk3MTMwOTRjM2RkMDBkOGMwYjlkMzEiLCJ1c2VySWQiOiIzNzEwODY3MTkifQ==</vt:lpwstr>
  </property>
</Properties>
</file>